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05" w:rsidRDefault="009929E1">
      <w:pPr>
        <w:pStyle w:val="Standard"/>
        <w:jc w:val="center"/>
        <w:rPr>
          <w:rFonts w:hint="eastAsia"/>
        </w:rPr>
      </w:pPr>
      <w:r>
        <w:rPr>
          <w:noProof/>
          <w:lang w:eastAsia="pl-PL"/>
        </w:rPr>
        <w:drawing>
          <wp:inline distT="0" distB="0" distL="0" distR="0">
            <wp:extent cx="5757547" cy="733421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547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0B05" w:rsidRDefault="009929E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REGULAMIN UCZESTNICTWA W PROJEKCIE                                                             „KLUB INTEGRACJI SPOŁECZNEJ”</w:t>
      </w:r>
    </w:p>
    <w:p w:rsidR="00F00B05" w:rsidRDefault="009929E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mallCaps/>
        </w:rPr>
        <w:t>§ 1</w:t>
      </w:r>
    </w:p>
    <w:p w:rsidR="00F00B05" w:rsidRDefault="009929E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b/>
          <w:bCs/>
          <w:smallCaps/>
        </w:rPr>
        <w:t>Informacje ogólne</w:t>
      </w:r>
    </w:p>
    <w:p w:rsidR="00F00B05" w:rsidRDefault="009929E1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Stowarzyszenie PERSONA na rzecz Promocji i Ochrony Zdrowia Psychicznego                                   w Raciborzu w partnerstwie z Powiatowym Urzędem Pracy w Raciborzu realizuje projekt „Klub Integracji Społecznej” w ramach Funduszu Europejskiego dla Śląskiego 2021 – 2027 dla Priorytetu: FESL.07.00 Fundusze Europejskie dla społeczeństwa, dla działania: FESL.07.02 Aktywna integracja.</w:t>
      </w:r>
    </w:p>
    <w:p w:rsidR="00F00B05" w:rsidRDefault="009929E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DejaVuSans" w:hAnsi="Times New Roman" w:cs="Times New Roman"/>
        </w:rPr>
        <w:t>elem projektu jest reintegracja społeczna i zawodowa osób zagrożonych wykluczeniem społecznym poprzez kompleksowe wsparcie w Klubie Integracji Społecznej. Działania projektu zakładają nabycie/odbudowę lub podtrzymanie kluczowych umiejętności społecznych niezbędnych do pełnego uczestnictwa w życiu społeczności lokalnej                              i pełnienia ról społecznych, a także nabycie/podwyższenie kwalifikacji zawodowych niezbędnych do samodzielnego funkcjonowania na rynku pracy.</w:t>
      </w:r>
    </w:p>
    <w:p w:rsidR="00F00B05" w:rsidRDefault="009929E1">
      <w:pPr>
        <w:pStyle w:val="Akapitzli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mallCaps/>
        </w:rPr>
        <w:t>§ 2</w:t>
      </w:r>
    </w:p>
    <w:p w:rsidR="00F00B05" w:rsidRDefault="009929E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      Słownik pojęć</w:t>
      </w: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 – opis zasad i warunków uczestnictwa w formach wsparcia realizowanych                       w ramach projektu „Klub Integracji Społecznej”.</w:t>
      </w: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EFS+ - Europejski Fundusz Społeczny Plus.</w:t>
      </w: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 SL – Fundusze Europejskie dla Śląska.</w:t>
      </w: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Biuro projektu – siedziba Stowarzyszenia Persona w Raciborzu, ul. Karola Miarki 7/1</w:t>
      </w: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Strona internetowa – strona internetowa Stowarzyszenia PERSONA oraz Powiatowego Urzędu Pracy w Raciborzu.</w:t>
      </w: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rekrutacyjne – dokumenty składane przez osobę wyrażającą gotowość do udziału w projekcie.</w:t>
      </w: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Uczestnik/Uczestniczka projektu – osoba spełniająca kryteria kwalifikowalności udziału                  w projekcie, która podpisała deklarację udziału w projekcie.</w:t>
      </w:r>
    </w:p>
    <w:p w:rsidR="00F00B05" w:rsidRDefault="00F00B05">
      <w:pPr>
        <w:tabs>
          <w:tab w:val="left" w:pos="568"/>
        </w:tabs>
        <w:spacing w:line="360" w:lineRule="auto"/>
        <w:jc w:val="both"/>
        <w:rPr>
          <w:rFonts w:hint="eastAsia"/>
        </w:rPr>
      </w:pPr>
    </w:p>
    <w:p w:rsidR="00F00B05" w:rsidRDefault="00F00B05">
      <w:pPr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9929E1">
      <w:pPr>
        <w:pStyle w:val="Akapitzlist"/>
        <w:numPr>
          <w:ilvl w:val="0"/>
          <w:numId w:val="3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Formy wsparcia – działania realizowane w projekcie na rzecz uczestników, przyczyniające się do ich poprawy sytuacji społeczno – zawodowej.</w:t>
      </w:r>
    </w:p>
    <w:p w:rsidR="00F00B05" w:rsidRDefault="009929E1">
      <w:pPr>
        <w:pStyle w:val="Akapitzli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mallCaps/>
        </w:rPr>
        <w:t>§ 3</w:t>
      </w:r>
    </w:p>
    <w:p w:rsidR="00F00B05" w:rsidRDefault="009929E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      Grupa docelowa i formy wsparcia</w:t>
      </w:r>
    </w:p>
    <w:p w:rsidR="00F00B05" w:rsidRDefault="009929E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Do projektu zrekrutowanych zostanie co najmniej 60 osób – mieszkańców powiatu raciborskiego, należących do jednej z poniższych grup: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osoby z niepełnosprawnościami,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osoby doświadczające przemocy,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osoby w kryzysie uzależnień,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osoby bezrobotne, korzystające jednocześnie ze świadczeń pomocy społecznej,</w:t>
      </w:r>
    </w:p>
    <w:p w:rsidR="00F00B05" w:rsidRDefault="009929E1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osoby w kryzysie bezdomności,</w:t>
      </w:r>
    </w:p>
    <w:p w:rsidR="00F00B05" w:rsidRDefault="009929E1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osoby bierne zawodowo,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osoby objęte ochroną czasową w Polsce w związku z agresją Federacji Rosyjskiej na Ukrainę.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W ramach projektu Uczestnicy/Uczestniczki mogą skorzystać z następujących działań:</w:t>
      </w:r>
    </w:p>
    <w:p w:rsidR="00F00B05" w:rsidRDefault="009929E1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warsztaty rozwoju osobistego i kompetencji kluczowych – zajęcia obowiązkowe</w:t>
      </w:r>
    </w:p>
    <w:p w:rsidR="00F00B05" w:rsidRDefault="009929E1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zajęcia z zakresu ekologii, podniesienia świadomości oszczędnego korzystania z zasobów, wykorzystania, odnawialnych źródeł energii oraz problematyki ochrony powietrza, zasady równości szans i niedyskryminacji oraz równości kobiet i mężczyzn – zajęcia obowiązkowe</w:t>
      </w:r>
    </w:p>
    <w:p w:rsidR="00F00B05" w:rsidRDefault="009929E1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samopomocowa grupa wsparcia,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indywidualne poradnictwo psychologiczne,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indywidualne poradnictwo prawne,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warsztaty/szkolenia podnoszące umiejętności cyfrowe – zajęcia obowiązkowe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szkolenia podnoszące kompetencje i kwalifikacje zawodowe,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wizyty studyjne,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>- staże zawodowe u pracodawców,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- zajęcia z doradcą zawodowym w ramach Klubu Pracy,</w:t>
      </w:r>
    </w:p>
    <w:p w:rsidR="00F00B05" w:rsidRDefault="009929E1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działania o charakterze integracyjnym np. spotkania okolicznościowe, wycieczka, warsztaty rękodzielnicze,</w:t>
      </w:r>
    </w:p>
    <w:p w:rsidR="00F00B05" w:rsidRDefault="009929E1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Dodatkowo osoby biorące udział w projekcie będą miały możliwość skorzystania z Działań podnoszących kompetencje w zakresie spędzania czasu wolnego i rekreacji oraz uczestnictwa w kulturze np. wyjście do kina, na spektakl teatralny, zwiedzanie muzeum, Zamku.  </w:t>
      </w:r>
    </w:p>
    <w:p w:rsidR="00F00B05" w:rsidRDefault="009929E1">
      <w:pPr>
        <w:pStyle w:val="Akapitzlist"/>
        <w:ind w:left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mallCaps/>
        </w:rPr>
        <w:t>§ 4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Rekrutacja do projektu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Rekrutacja do projektu prowadzona będzie w sposób ciągły, aż do wyczerpania limitu miejsc. W przypadku, gdy liczba zgłoszeń będzie większa niż założono w projekcie, utworzona zostanie lista rezerwowa.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Rekrutacja do projektu składa się z następujących etapów: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 - złożenie przez potencjalnego Uczestnika/Uczestniczki dokumentów rekrutacyjnych tj. Formularza zgłoszeniowego – załącznik nr 1 do regulaminu,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- złożenie dokumentu potwierdzającego kwalifikowalność do udziału w projekcie.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Dokumenty należy złożyć na adres Biura projektu w formie papierowej lub elektronicznie.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 W przypadku formy elektronicznej dokumenty należy opatrzyć bezpiecznym podpisem   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  Elektronicznym/profilem zaufanym poprzez skrytkę ePUAP.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Kolejnym etapem będzie weryfikacja kompletności złożonych dokumentów oraz danych                  w  nich zamieszczonych.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after="0"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DejaVuSans" w:hAnsi="Times New Roman" w:cs="Times New Roman"/>
        </w:rPr>
        <w:t>W procesie rekrutacji zostaną zastosowane wagi punktowe za spełnienie poniższych kryteriów:</w:t>
      </w:r>
    </w:p>
    <w:p w:rsidR="00F00B05" w:rsidRDefault="009929E1">
      <w:pPr>
        <w:pStyle w:val="Akapitzlist"/>
        <w:tabs>
          <w:tab w:val="left" w:pos="568"/>
        </w:tabs>
        <w:spacing w:after="0" w:line="360" w:lineRule="auto"/>
        <w:ind w:left="284"/>
        <w:jc w:val="both"/>
        <w:rPr>
          <w:rFonts w:hint="eastAsia"/>
        </w:rPr>
      </w:pPr>
      <w:r>
        <w:rPr>
          <w:rFonts w:ascii="Times New Roman" w:eastAsia="DejaVuSans" w:hAnsi="Times New Roman" w:cs="Times New Roman"/>
        </w:rPr>
        <w:t>- wielokrotne wykluczenie społeczne rozumianego jako wykluczenie z powodu więcej niż jednej z przesłanek kwalifikujących je do wsparcia w projekcie (o których mowa powyżej) lub spełniające więcej niż jedną przesłankę określoną w art. 7 ustawy o pomocy społecznej</w:t>
      </w:r>
    </w:p>
    <w:p w:rsidR="00F00B05" w:rsidRDefault="009929E1">
      <w:pPr>
        <w:pStyle w:val="Standard"/>
        <w:spacing w:after="0" w:line="360" w:lineRule="auto"/>
        <w:rPr>
          <w:rFonts w:hint="eastAsia"/>
        </w:rPr>
      </w:pPr>
      <w:r>
        <w:rPr>
          <w:rFonts w:ascii="Times New Roman" w:eastAsia="DejaVuSans" w:hAnsi="Times New Roman" w:cs="Times New Roman"/>
        </w:rPr>
        <w:t xml:space="preserve">    - posiadanie orzeczenia o znacznym lub umiarkowanym stopniu niepełnosprawności,     </w:t>
      </w:r>
    </w:p>
    <w:p w:rsidR="00F00B05" w:rsidRDefault="009929E1">
      <w:pPr>
        <w:pStyle w:val="Standard"/>
        <w:spacing w:after="0" w:line="360" w:lineRule="auto"/>
        <w:rPr>
          <w:rFonts w:hint="eastAsia"/>
        </w:rPr>
      </w:pPr>
      <w:r>
        <w:rPr>
          <w:rFonts w:ascii="Times New Roman" w:eastAsia="DejaVuSans" w:hAnsi="Times New Roman" w:cs="Times New Roman"/>
        </w:rPr>
        <w:t xml:space="preserve">    niepełnosprawności sprzężonej, niepełnosprawności intelektualnej, niepełnosprawności   </w:t>
      </w:r>
    </w:p>
    <w:p w:rsidR="00F00B05" w:rsidRDefault="009929E1">
      <w:pPr>
        <w:pStyle w:val="Standard"/>
        <w:spacing w:after="0" w:line="360" w:lineRule="auto"/>
        <w:rPr>
          <w:rFonts w:hint="eastAsia"/>
        </w:rPr>
      </w:pPr>
      <w:r>
        <w:rPr>
          <w:rFonts w:ascii="Times New Roman" w:eastAsia="DejaVuSans" w:hAnsi="Times New Roman" w:cs="Times New Roman"/>
        </w:rPr>
        <w:t xml:space="preserve">    spowodowanej całościowymi zaburzeniami rozwojowymi, bądź choroby z całościowymi  </w:t>
      </w:r>
    </w:p>
    <w:p w:rsidR="00F00B05" w:rsidRDefault="009929E1">
      <w:pPr>
        <w:pStyle w:val="Standard"/>
        <w:spacing w:after="0" w:line="360" w:lineRule="auto"/>
        <w:rPr>
          <w:rFonts w:hint="eastAsia"/>
        </w:rPr>
      </w:pPr>
      <w:r>
        <w:rPr>
          <w:rFonts w:ascii="Times New Roman" w:eastAsia="DejaVuSans" w:hAnsi="Times New Roman" w:cs="Times New Roman"/>
        </w:rPr>
        <w:t xml:space="preserve">    zaburzeniami rozwojowymi,</w:t>
      </w:r>
    </w:p>
    <w:p w:rsidR="00F00B05" w:rsidRDefault="009929E1">
      <w:pPr>
        <w:pStyle w:val="Standard"/>
        <w:spacing w:after="0" w:line="360" w:lineRule="auto"/>
        <w:rPr>
          <w:rFonts w:hint="eastAsia"/>
        </w:rPr>
      </w:pPr>
      <w:r>
        <w:rPr>
          <w:rFonts w:ascii="Times New Roman" w:eastAsia="DejaVuSans" w:hAnsi="Times New Roman" w:cs="Times New Roman"/>
        </w:rPr>
        <w:lastRenderedPageBreak/>
        <w:t xml:space="preserve">    - korzystanie z programu FE PŻ,</w:t>
      </w:r>
    </w:p>
    <w:p w:rsidR="00F00B05" w:rsidRDefault="009929E1">
      <w:pPr>
        <w:pStyle w:val="Standard"/>
        <w:spacing w:after="0" w:line="360" w:lineRule="auto"/>
        <w:rPr>
          <w:rFonts w:hint="eastAsia"/>
        </w:rPr>
      </w:pPr>
      <w:r>
        <w:rPr>
          <w:rFonts w:ascii="Times New Roman" w:eastAsia="DejaVuSans" w:hAnsi="Times New Roman" w:cs="Times New Roman"/>
        </w:rPr>
        <w:t xml:space="preserve">    - opuszczenie placówki opieki instytucjonalnej,</w:t>
      </w:r>
    </w:p>
    <w:p w:rsidR="00F00B05" w:rsidRDefault="009929E1">
      <w:pPr>
        <w:pStyle w:val="Standard"/>
        <w:spacing w:after="0" w:line="360" w:lineRule="auto"/>
        <w:rPr>
          <w:rFonts w:hint="eastAsia"/>
        </w:rPr>
      </w:pPr>
      <w:r>
        <w:rPr>
          <w:rFonts w:ascii="Times New Roman" w:eastAsia="DejaVuSans" w:hAnsi="Times New Roman" w:cs="Times New Roman"/>
        </w:rPr>
        <w:t xml:space="preserve">   - wykluczone komunikacyjnie,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142"/>
        <w:jc w:val="both"/>
        <w:rPr>
          <w:rFonts w:hint="eastAsia"/>
        </w:rPr>
      </w:pPr>
      <w:r>
        <w:rPr>
          <w:rFonts w:ascii="Times New Roman" w:eastAsia="DejaVuSans" w:hAnsi="Times New Roman" w:cs="Times New Roman"/>
        </w:rPr>
        <w:t>- posiadanie statusu osoby, która opuściła jednostki penitencjarne w terminie ostatnich                        12 miesięcy.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142"/>
        <w:jc w:val="both"/>
        <w:rPr>
          <w:rFonts w:ascii="Times New Roman" w:eastAsia="DejaVuSans" w:hAnsi="Times New Roman" w:cs="Times New Roman"/>
        </w:rPr>
      </w:pPr>
      <w:r>
        <w:rPr>
          <w:rFonts w:ascii="Times New Roman" w:eastAsia="DejaVuSans" w:hAnsi="Times New Roman" w:cs="Times New Roman"/>
        </w:rPr>
        <w:t xml:space="preserve">  Za każde spełnienie w/w kryteriów przyznane zostaną 2 punkty.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eastAsia="DejaVuSans" w:hAnsi="Times New Roman" w:cs="Times New Roman"/>
        </w:rPr>
        <w:t>W przypadku uzyskania przez Kandydatów takiej samej liczby punktów na liście rankingowej o zakwalifikowaniu decydować będzie data złożenia formularza zgłoszeniowego.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eastAsia="DejaVuSans" w:hAnsi="Times New Roman" w:cs="Times New Roman"/>
        </w:rPr>
        <w:t>Po zakwalifikowaniu się do udziału w projekcie Uczestnik/Uczestniczka podpisuje deklarację udziału w projekcie – załącznik nr 2 do regulaminu.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eastAsia="DejaVuSans" w:hAnsi="Times New Roman" w:cs="Times New Roman"/>
        </w:rPr>
        <w:t>W następnym etapie rekrutacji odpowiedni specjalista przystąpi do weryfikacji i walidacji kompetencji społecznych uczestnika. Natomiast pracownik socjalny sporządzi kontrakt socjalny, określający wzajemne prawa i obowiązki w ramach projektu przyczyniające się do poprawy sytuacji społeczno – zawodowej Uczestnika/Uczestniczki. Zawarcie kontraktu socjalnego poprzedzone zostanie diagnozą przeprowadzoną przez odpowiedniego specjalistę.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Informowanie Uczestników/Uczestniczki o poszczególnych działaniach w ramach projektu odbywać się będzie poprzez kontakt telefoniczny, mailowy, bezpośrednich spotkań, a także publikowanie informacji na stronie internetowej projektu prowadzonej przez Stowarzyszenie PERSONA.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jc w:val="both"/>
        <w:rPr>
          <w:rFonts w:hint="eastAsia"/>
        </w:rPr>
      </w:pPr>
      <w:r>
        <w:rPr>
          <w:rFonts w:ascii="Times New Roman" w:hAnsi="Times New Roman" w:cs="Times New Roman"/>
        </w:rPr>
        <w:t>Rekrutacja będzie prowadzona w sposób bezstronny, jawny, z warunkami jednakowymi dla wszystkich uczestników, zgodnie z zasadą powszechnej dostępności.</w:t>
      </w:r>
    </w:p>
    <w:p w:rsidR="00F00B05" w:rsidRDefault="009929E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Rekrutacja będzie prowadzona w zależności od potrzeb począwszy od września                       2024 roku.</w:t>
      </w:r>
    </w:p>
    <w:p w:rsidR="00F00B05" w:rsidRDefault="009929E1">
      <w:pPr>
        <w:pStyle w:val="Akapitzli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mallCaps/>
        </w:rPr>
        <w:t>§ 5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Zasady realizacji wsparcia</w:t>
      </w:r>
    </w:p>
    <w:p w:rsidR="00F00B05" w:rsidRDefault="009929E1">
      <w:pPr>
        <w:pStyle w:val="Akapitzlist"/>
        <w:numPr>
          <w:ilvl w:val="0"/>
          <w:numId w:val="9"/>
        </w:numPr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Do obowiązku Uczestnika/Uczestniczki należy: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- zapoznanie się z niniejszym regulaminem,</w:t>
      </w:r>
    </w:p>
    <w:p w:rsidR="00F00B05" w:rsidRDefault="009929E1">
      <w:pPr>
        <w:pStyle w:val="Standard"/>
        <w:tabs>
          <w:tab w:val="left" w:pos="142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udostępniania danych osobowych niezbędnych do realizacji Projektu, </w:t>
      </w:r>
      <w:r>
        <w:rPr>
          <w:rFonts w:ascii="Times New Roman" w:hAnsi="Times New Roman" w:cs="Times New Roman"/>
        </w:rPr>
        <w:br/>
        <w:t xml:space="preserve">w szczególności związanych z potwierdzaniem kwalifikowalności wydatków, </w:t>
      </w:r>
      <w:r>
        <w:rPr>
          <w:rFonts w:ascii="Times New Roman" w:hAnsi="Times New Roman" w:cs="Times New Roman"/>
        </w:rPr>
        <w:lastRenderedPageBreak/>
        <w:t>zarządzaniem, ewaluacją, monitoringiem, kontrolą, audytem, sprawozdawczością oraz działaniami informacyjno-promocyjnymi w ramach FEŚL 2021-2027 współfinansowanego z EFS+;</w:t>
      </w:r>
    </w:p>
    <w:p w:rsidR="00F00B05" w:rsidRDefault="009929E1">
      <w:pPr>
        <w:pStyle w:val="Standard"/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-  </w:t>
      </w:r>
      <w:r>
        <w:rPr>
          <w:rFonts w:ascii="Times New Roman" w:hAnsi="Times New Roman" w:cs="Times New Roman"/>
        </w:rPr>
        <w:t>udział w badaniach ewaluacyjnych po zakończeniu projektu,</w:t>
      </w:r>
    </w:p>
    <w:p w:rsidR="00F00B05" w:rsidRDefault="009929E1">
      <w:pPr>
        <w:pStyle w:val="Akapitzlist"/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>- aktywne uczestnictwo w szkoleniach, warsztatach podnoszących kwalifikacje, stażach zawodowych oraz w pozostałych formach wsparcia zaplanowanych dla uczestnika zgodnie                 z jego indywidualną ścieżką aktywizacji określoną w kontrakcie socjalnym -  w ilości nie mniejszej niż 80% godzin przewidzianych w ramach poszczególnych zajęć,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- informowanie o zmianie danych osobowych (tj. adresie zamieszkania, numerze telefonu itp.),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niezwłoczne informowanie np. telefonicznie, za pośrednictwem poczty elektronicznej                    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o przeszkodach uniemożliwiających udział w formach wsparcia,</w:t>
      </w:r>
    </w:p>
    <w:p w:rsidR="00F00B05" w:rsidRDefault="009929E1">
      <w:pPr>
        <w:pStyle w:val="Akapitzlist"/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rezygnacji z udziału w projekcie, w przypadku gdy rezygnacja nastąpiła                                                   </w:t>
      </w:r>
    </w:p>
    <w:p w:rsidR="00F00B05" w:rsidRDefault="009929E1">
      <w:pPr>
        <w:pStyle w:val="Akapitzlist"/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z ważnych powodów osobistych bądź podjęcia zatrudnienia,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>- nieusprawiedliwiona nieobecność uczestnika oraz niedotrzymanie zasad i terminów rezygnacji traktowane będzie jako naruszenie zapisów Regulaminu i może skutkować wykluczeniem Uczestnika/Uczestniczki z projektu.</w:t>
      </w:r>
    </w:p>
    <w:p w:rsidR="00F00B05" w:rsidRDefault="009929E1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>2. Do obowiązków Stowarzyszenia PERSONA należy:</w:t>
      </w:r>
    </w:p>
    <w:p w:rsidR="00F00B05" w:rsidRDefault="009929E1">
      <w:pPr>
        <w:pStyle w:val="Akapitzlist"/>
        <w:tabs>
          <w:tab w:val="left" w:pos="284"/>
        </w:tabs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>- zapewnienia zaplecza lokalowego i technicznego gwarantującego prawidłowy przebieg                   i realizację form wsparcia,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- zapewnienie kadry projektu o odpowiednich kwalifikacjach i doświadczeniu,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- wydanie zaświadczeń o ukończonych szkoleniach, warsztatach itp.</w:t>
      </w:r>
    </w:p>
    <w:p w:rsidR="00F00B05" w:rsidRDefault="009929E1">
      <w:pPr>
        <w:pStyle w:val="Akapitzlist"/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</w:rPr>
        <w:t>- Stowarzyszenie PERSONA zastrzega sobie prawo do odwołania zajęć z przyczyn od siebie niezależnych, jednocześnie zobowiązuje się do poinformowania uczestnika o wszelkich zaistniałych  zmianach.</w:t>
      </w:r>
    </w:p>
    <w:p w:rsidR="00F00B05" w:rsidRDefault="009929E1">
      <w:pPr>
        <w:pStyle w:val="Akapitzlist"/>
        <w:tabs>
          <w:tab w:val="left" w:pos="568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3.  Udział w projekcie jest bezpłatny.</w:t>
      </w:r>
    </w:p>
    <w:p w:rsidR="00F00B05" w:rsidRDefault="00F00B05">
      <w:pPr>
        <w:pStyle w:val="Akapitzlist"/>
        <w:jc w:val="center"/>
        <w:rPr>
          <w:rFonts w:ascii="Times New Roman" w:hAnsi="Times New Roman" w:cs="Times New Roman"/>
        </w:rPr>
      </w:pPr>
    </w:p>
    <w:p w:rsidR="00F00B05" w:rsidRDefault="00F00B05">
      <w:pPr>
        <w:pStyle w:val="Akapitzlist"/>
        <w:jc w:val="center"/>
        <w:rPr>
          <w:rFonts w:ascii="Times New Roman" w:hAnsi="Times New Roman" w:cs="Times New Roman"/>
        </w:rPr>
      </w:pPr>
    </w:p>
    <w:p w:rsidR="00B54093" w:rsidRDefault="00B54093">
      <w:pPr>
        <w:pStyle w:val="Akapitzlist"/>
        <w:jc w:val="center"/>
        <w:rPr>
          <w:rFonts w:ascii="Times New Roman" w:hAnsi="Times New Roman" w:cs="Times New Roman"/>
        </w:rPr>
      </w:pPr>
    </w:p>
    <w:p w:rsidR="00B54093" w:rsidRDefault="00B54093">
      <w:pPr>
        <w:pStyle w:val="Akapitzlis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00B05" w:rsidRDefault="009929E1">
      <w:pPr>
        <w:pStyle w:val="Akapitzlist"/>
        <w:jc w:val="center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 xml:space="preserve">  </w:t>
      </w:r>
      <w:r>
        <w:rPr>
          <w:rFonts w:ascii="Times New Roman" w:hAnsi="Times New Roman" w:cs="Times New Roman"/>
          <w:b/>
          <w:bCs/>
          <w:smallCaps/>
        </w:rPr>
        <w:t>§ 6</w:t>
      </w:r>
    </w:p>
    <w:p w:rsidR="00F00B05" w:rsidRDefault="009929E1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    Postanowienia końcowe</w:t>
      </w:r>
    </w:p>
    <w:p w:rsidR="00F00B05" w:rsidRDefault="009929E1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Stowarzyszenie PERSONA zastrzega sobie prawo do zmiany postanowień Regulaminu                    w przypadku zmiany warunków umowy o dofinansowanie Projektu, zasad oraz wytycznych z zakresu realizacji projektów w ramach RPO WSL.</w:t>
      </w:r>
    </w:p>
    <w:p w:rsidR="00F00B05" w:rsidRDefault="009929E1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</w:rPr>
        <w:t>Regulamin wchodzi w życie z dniem 2 września 2024 roku</w:t>
      </w: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00B05" w:rsidRDefault="00F00B05" w:rsidP="00B54093">
      <w:pPr>
        <w:tabs>
          <w:tab w:val="left" w:pos="1004"/>
        </w:tabs>
        <w:spacing w:line="360" w:lineRule="auto"/>
        <w:jc w:val="both"/>
        <w:rPr>
          <w:rFonts w:hint="eastAsia"/>
        </w:rPr>
      </w:pPr>
    </w:p>
    <w:sectPr w:rsidR="00F00B0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02" w:rsidRDefault="00D7450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D74502" w:rsidRDefault="00D7450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Apto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ptos Display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02" w:rsidRDefault="00D74502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74502" w:rsidRDefault="00D7450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48D"/>
    <w:multiLevelType w:val="multilevel"/>
    <w:tmpl w:val="D51AD1C4"/>
    <w:styleLink w:val="WWNum1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1C5DA8"/>
    <w:multiLevelType w:val="multilevel"/>
    <w:tmpl w:val="A3A6AA1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1B0582"/>
    <w:multiLevelType w:val="multilevel"/>
    <w:tmpl w:val="D1E245DE"/>
    <w:styleLink w:val="WWNum1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964DBA"/>
    <w:multiLevelType w:val="multilevel"/>
    <w:tmpl w:val="1930BBC8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9AC09A7"/>
    <w:multiLevelType w:val="multilevel"/>
    <w:tmpl w:val="D8DE75E6"/>
    <w:styleLink w:val="WWNum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BF11465"/>
    <w:multiLevelType w:val="multilevel"/>
    <w:tmpl w:val="48E84BEC"/>
    <w:styleLink w:val="WW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034E3C"/>
    <w:multiLevelType w:val="multilevel"/>
    <w:tmpl w:val="4E2A15B8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1A44CDA"/>
    <w:multiLevelType w:val="multilevel"/>
    <w:tmpl w:val="2864F5E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B70840"/>
    <w:multiLevelType w:val="multilevel"/>
    <w:tmpl w:val="46FCC83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37E4BDF"/>
    <w:multiLevelType w:val="multilevel"/>
    <w:tmpl w:val="B952FDAE"/>
    <w:styleLink w:val="WWNum1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3B04C75"/>
    <w:multiLevelType w:val="multilevel"/>
    <w:tmpl w:val="B3821586"/>
    <w:styleLink w:val="WW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D35FC5"/>
    <w:multiLevelType w:val="multilevel"/>
    <w:tmpl w:val="858A943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AFA3B02"/>
    <w:multiLevelType w:val="multilevel"/>
    <w:tmpl w:val="EB68A98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B63139D"/>
    <w:multiLevelType w:val="multilevel"/>
    <w:tmpl w:val="5EBCDC4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EE465C5"/>
    <w:multiLevelType w:val="multilevel"/>
    <w:tmpl w:val="1B7A7E3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" w15:restartNumberingAfterBreak="0">
    <w:nsid w:val="44A83141"/>
    <w:multiLevelType w:val="multilevel"/>
    <w:tmpl w:val="807EE7EE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85B0E6B"/>
    <w:multiLevelType w:val="multilevel"/>
    <w:tmpl w:val="A5E26A3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E265FAB"/>
    <w:multiLevelType w:val="multilevel"/>
    <w:tmpl w:val="EC7E4A64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3BD4DBC"/>
    <w:multiLevelType w:val="multilevel"/>
    <w:tmpl w:val="E194AF12"/>
    <w:styleLink w:val="WWNum2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3006A1"/>
    <w:multiLevelType w:val="multilevel"/>
    <w:tmpl w:val="23A2491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56526B9"/>
    <w:multiLevelType w:val="multilevel"/>
    <w:tmpl w:val="5EE60F8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7736C52"/>
    <w:multiLevelType w:val="multilevel"/>
    <w:tmpl w:val="B80A1004"/>
    <w:styleLink w:val="WW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216BB8"/>
    <w:multiLevelType w:val="multilevel"/>
    <w:tmpl w:val="A2B814EC"/>
    <w:styleLink w:val="WW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B7A0099"/>
    <w:multiLevelType w:val="multilevel"/>
    <w:tmpl w:val="455C6D64"/>
    <w:styleLink w:val="WWNum2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1D83867"/>
    <w:multiLevelType w:val="multilevel"/>
    <w:tmpl w:val="1DD27CB2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0B72F3"/>
    <w:multiLevelType w:val="multilevel"/>
    <w:tmpl w:val="2A94C612"/>
    <w:styleLink w:val="WWNum3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1.%2.%3."/>
      <w:lvlJc w:val="right"/>
      <w:pPr>
        <w:ind w:left="4919" w:hanging="180"/>
      </w:pPr>
    </w:lvl>
    <w:lvl w:ilvl="3">
      <w:start w:val="1"/>
      <w:numFmt w:val="decimal"/>
      <w:lvlText w:val="%1.%2.%3.%4."/>
      <w:lvlJc w:val="left"/>
      <w:pPr>
        <w:ind w:left="5639" w:hanging="360"/>
      </w:pPr>
    </w:lvl>
    <w:lvl w:ilvl="4">
      <w:start w:val="1"/>
      <w:numFmt w:val="lowerLetter"/>
      <w:lvlText w:val="%1.%2.%3.%4.%5."/>
      <w:lvlJc w:val="left"/>
      <w:pPr>
        <w:ind w:left="6359" w:hanging="360"/>
      </w:pPr>
    </w:lvl>
    <w:lvl w:ilvl="5">
      <w:start w:val="1"/>
      <w:numFmt w:val="lowerRoman"/>
      <w:lvlText w:val="%1.%2.%3.%4.%5.%6."/>
      <w:lvlJc w:val="right"/>
      <w:pPr>
        <w:ind w:left="7079" w:hanging="180"/>
      </w:pPr>
    </w:lvl>
    <w:lvl w:ilvl="6">
      <w:start w:val="1"/>
      <w:numFmt w:val="decimal"/>
      <w:lvlText w:val="%1.%2.%3.%4.%5.%6.%7."/>
      <w:lvlJc w:val="left"/>
      <w:pPr>
        <w:ind w:left="7799" w:hanging="360"/>
      </w:pPr>
    </w:lvl>
    <w:lvl w:ilvl="7">
      <w:start w:val="1"/>
      <w:numFmt w:val="lowerLetter"/>
      <w:lvlText w:val="%1.%2.%3.%4.%5.%6.%7.%8."/>
      <w:lvlJc w:val="left"/>
      <w:pPr>
        <w:ind w:left="8519" w:hanging="360"/>
      </w:pPr>
    </w:lvl>
    <w:lvl w:ilvl="8">
      <w:start w:val="1"/>
      <w:numFmt w:val="lowerRoman"/>
      <w:lvlText w:val="%1.%2.%3.%4.%5.%6.%7.%8.%9."/>
      <w:lvlJc w:val="right"/>
      <w:pPr>
        <w:ind w:left="9239" w:hanging="180"/>
      </w:pPr>
    </w:lvl>
  </w:abstractNum>
  <w:abstractNum w:abstractNumId="26" w15:restartNumberingAfterBreak="0">
    <w:nsid w:val="763D60A5"/>
    <w:multiLevelType w:val="multilevel"/>
    <w:tmpl w:val="A5B6A998"/>
    <w:styleLink w:val="WWNum2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74A357C"/>
    <w:multiLevelType w:val="multilevel"/>
    <w:tmpl w:val="2C2629F6"/>
    <w:styleLink w:val="WWNum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78604634"/>
    <w:multiLevelType w:val="multilevel"/>
    <w:tmpl w:val="1338CDF0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7C3A0C6D"/>
    <w:multiLevelType w:val="multilevel"/>
    <w:tmpl w:val="B8D6A256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5"/>
  </w:num>
  <w:num w:numId="4">
    <w:abstractNumId w:val="7"/>
  </w:num>
  <w:num w:numId="5">
    <w:abstractNumId w:val="12"/>
  </w:num>
  <w:num w:numId="6">
    <w:abstractNumId w:val="28"/>
  </w:num>
  <w:num w:numId="7">
    <w:abstractNumId w:val="27"/>
  </w:num>
  <w:num w:numId="8">
    <w:abstractNumId w:val="3"/>
  </w:num>
  <w:num w:numId="9">
    <w:abstractNumId w:val="15"/>
  </w:num>
  <w:num w:numId="10">
    <w:abstractNumId w:val="6"/>
  </w:num>
  <w:num w:numId="11">
    <w:abstractNumId w:val="17"/>
  </w:num>
  <w:num w:numId="12">
    <w:abstractNumId w:val="9"/>
  </w:num>
  <w:num w:numId="13">
    <w:abstractNumId w:val="20"/>
  </w:num>
  <w:num w:numId="14">
    <w:abstractNumId w:val="2"/>
  </w:num>
  <w:num w:numId="15">
    <w:abstractNumId w:val="22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18"/>
  </w:num>
  <w:num w:numId="21">
    <w:abstractNumId w:val="26"/>
  </w:num>
  <w:num w:numId="22">
    <w:abstractNumId w:val="23"/>
  </w:num>
  <w:num w:numId="23">
    <w:abstractNumId w:val="29"/>
  </w:num>
  <w:num w:numId="24">
    <w:abstractNumId w:val="4"/>
  </w:num>
  <w:num w:numId="25">
    <w:abstractNumId w:val="14"/>
  </w:num>
  <w:num w:numId="26">
    <w:abstractNumId w:val="5"/>
  </w:num>
  <w:num w:numId="27">
    <w:abstractNumId w:val="16"/>
    <w:lvlOverride w:ilvl="0">
      <w:startOverride w:val="1"/>
    </w:lvlOverride>
  </w:num>
  <w:num w:numId="28">
    <w:abstractNumId w:val="11"/>
  </w:num>
  <w:num w:numId="29">
    <w:abstractNumId w:val="19"/>
  </w:num>
  <w:num w:numId="30">
    <w:abstractNumId w:val="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05"/>
    <w:rsid w:val="008F4340"/>
    <w:rsid w:val="009929E1"/>
    <w:rsid w:val="00B54093"/>
    <w:rsid w:val="00D74502"/>
    <w:rsid w:val="00F0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FE43"/>
  <w15:docId w15:val="{3AF4D682-ED1E-46E2-A431-8D5789B4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F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Standard"/>
    <w:next w:val="Textbody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Standard"/>
    <w:next w:val="Textbody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Standard"/>
    <w:next w:val="Textbody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Standard"/>
    <w:next w:val="Textbody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Standard"/>
    <w:next w:val="Textbody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Nagwek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Nagwek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spacing w:after="80" w:line="240" w:lineRule="auto"/>
    </w:pPr>
    <w:rPr>
      <w:rFonts w:ascii="Aptos Display" w:hAnsi="Aptos Display"/>
      <w:b/>
      <w:bCs/>
      <w:spacing w:val="-10"/>
      <w:sz w:val="56"/>
      <w:szCs w:val="56"/>
    </w:rPr>
  </w:style>
  <w:style w:type="paragraph" w:styleId="Podtytu">
    <w:name w:val="Subtitle"/>
    <w:basedOn w:val="Standard"/>
    <w:next w:val="Textbody"/>
    <w:rPr>
      <w:i/>
      <w:iCs/>
      <w:color w:val="595959"/>
      <w:spacing w:val="15"/>
      <w:sz w:val="28"/>
      <w:szCs w:val="28"/>
    </w:rPr>
  </w:style>
  <w:style w:type="paragraph" w:styleId="Cytat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Standard"/>
    <w:pPr>
      <w:ind w:left="720"/>
    </w:pPr>
  </w:style>
  <w:style w:type="paragraph" w:styleId="Cytatintensywny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</w:rPr>
  </w:style>
  <w:style w:type="character" w:customStyle="1" w:styleId="Nagwek1Znak">
    <w:name w:val="Nagłówek 1 Znak"/>
    <w:basedOn w:val="Domylnaczcionkaakapitu"/>
    <w:rPr>
      <w:rFonts w:ascii="Aptos Display" w:hAnsi="Aptos Display" w:cs="F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hAnsi="Aptos Display" w:cs="F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cs="F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cs="F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cs="F"/>
      <w:color w:val="0F4761"/>
    </w:rPr>
  </w:style>
  <w:style w:type="character" w:customStyle="1" w:styleId="Nagwek6Znak">
    <w:name w:val="Nagłówek 6 Znak"/>
    <w:basedOn w:val="Domylnaczcionkaakapitu"/>
    <w:rPr>
      <w:rFonts w:cs="F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cs="F"/>
      <w:color w:val="595959"/>
    </w:rPr>
  </w:style>
  <w:style w:type="character" w:customStyle="1" w:styleId="Nagwek8Znak">
    <w:name w:val="Nagłówek 8 Znak"/>
    <w:basedOn w:val="Domylnaczcionkaakapitu"/>
    <w:rPr>
      <w:rFonts w:cs="F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cs="F"/>
      <w:color w:val="272727"/>
    </w:rPr>
  </w:style>
  <w:style w:type="character" w:customStyle="1" w:styleId="TytuZnak">
    <w:name w:val="Tytuł Znak"/>
    <w:basedOn w:val="Domylnaczcionkaakapitu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cs="F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Kotlarz Grażyna</dc:creator>
  <cp:lastModifiedBy>ASUS</cp:lastModifiedBy>
  <cp:revision>2</cp:revision>
  <cp:lastPrinted>2024-10-29T22:24:00Z</cp:lastPrinted>
  <dcterms:created xsi:type="dcterms:W3CDTF">2025-11-18T17:06:00Z</dcterms:created>
  <dcterms:modified xsi:type="dcterms:W3CDTF">2025-11-18T17:06:00Z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